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200" w:vertAnchor="page" w:horzAnchor="margin" w:tblpXSpec="center" w:tblpY="2764"/>
        <w:tblW w:w="9855" w:type="dxa"/>
        <w:tblBorders>
          <w:top w:val="single" w:sz="18" w:space="0" w:color="999999"/>
          <w:left w:val="single" w:sz="18" w:space="0" w:color="999999"/>
          <w:bottom w:val="single" w:sz="18" w:space="0" w:color="C0C0C0"/>
          <w:right w:val="single" w:sz="18" w:space="0" w:color="999999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8226"/>
      </w:tblGrid>
      <w:tr w:rsidR="00C6432F" w:rsidRPr="004C21BF" w:rsidTr="00BB52EF">
        <w:trPr>
          <w:trHeight w:val="664"/>
        </w:trPr>
        <w:tc>
          <w:tcPr>
            <w:tcW w:w="1629" w:type="dxa"/>
          </w:tcPr>
          <w:p w:rsidR="00C6432F" w:rsidRPr="00434D31" w:rsidRDefault="00C6432F" w:rsidP="00C6432F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</w:p>
          <w:p w:rsidR="00C6432F" w:rsidRPr="00434D31" w:rsidRDefault="00CC21EC" w:rsidP="00C6432F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>Po</w:t>
            </w:r>
            <w:r w:rsidR="006C22D0" w:rsidRPr="00434D3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>pis</w:t>
            </w:r>
          </w:p>
        </w:tc>
        <w:tc>
          <w:tcPr>
            <w:tcW w:w="8226" w:type="dxa"/>
          </w:tcPr>
          <w:p w:rsidR="00C6432F" w:rsidRPr="00434D31" w:rsidRDefault="00C6432F" w:rsidP="00C643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6"/>
                <w:szCs w:val="16"/>
                <w:lang w:val="pl-PL"/>
              </w:rPr>
            </w:pPr>
          </w:p>
          <w:p w:rsidR="001E3EFD" w:rsidRPr="00CC21EC" w:rsidRDefault="004C21BF" w:rsidP="0031078E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CC21EC">
              <w:rPr>
                <w:rFonts w:ascii="Verdana" w:hAnsi="Verdana"/>
                <w:b/>
                <w:sz w:val="16"/>
                <w:szCs w:val="16"/>
                <w:lang w:val="cs-CZ"/>
              </w:rPr>
              <w:t>Bezbarvý nátěr UHS, AUTOLUX</w:t>
            </w:r>
            <w:r w:rsidRPr="00CC21EC">
              <w:rPr>
                <w:b/>
                <w:w w:val="150"/>
                <w:sz w:val="16"/>
                <w:szCs w:val="16"/>
                <w:lang w:val="cs-CZ"/>
              </w:rPr>
              <w:t>®</w:t>
            </w:r>
            <w:r w:rsidRPr="00CC21EC">
              <w:rPr>
                <w:sz w:val="16"/>
                <w:szCs w:val="16"/>
                <w:lang w:val="cs-CZ"/>
              </w:rPr>
              <w:t xml:space="preserve"> </w:t>
            </w:r>
            <w:r w:rsidRPr="00CC21EC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  <w:t>AL324,</w:t>
            </w:r>
            <w:r w:rsidRPr="00CC21EC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je výrobek s velmi vysokým obsahem pevných látek a s nízkým podílem těkavých organických částic (LZO). AL324 je ideální produkt k opravě řady dílů a natírání celých vozidel</w:t>
            </w:r>
            <w:r w:rsidR="0031078E" w:rsidRPr="00CC21EC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.</w:t>
            </w:r>
          </w:p>
          <w:p w:rsidR="0031078E" w:rsidRPr="00CC21EC" w:rsidRDefault="0031078E" w:rsidP="0031078E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</w:p>
        </w:tc>
      </w:tr>
      <w:tr w:rsidR="008B4AC6" w:rsidRPr="004C21BF" w:rsidTr="00BB52EF">
        <w:trPr>
          <w:trHeight w:val="336"/>
        </w:trPr>
        <w:tc>
          <w:tcPr>
            <w:tcW w:w="1629" w:type="dxa"/>
            <w:hideMark/>
          </w:tcPr>
          <w:p w:rsidR="008B4AC6" w:rsidRPr="00434D31" w:rsidRDefault="008B4AC6" w:rsidP="00C6432F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>Produkty</w:t>
            </w:r>
            <w:r w:rsidRPr="00434D3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ab/>
            </w:r>
          </w:p>
        </w:tc>
        <w:tc>
          <w:tcPr>
            <w:tcW w:w="8226" w:type="dxa"/>
            <w:hideMark/>
          </w:tcPr>
          <w:p w:rsidR="0031078E" w:rsidRPr="0031078E" w:rsidRDefault="00CC21EC" w:rsidP="0031078E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Nátěr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 xml:space="preserve"> </w:t>
            </w:r>
            <w:r w:rsidR="0031078E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 w:rsidR="00E32650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 w:rsidR="0031078E"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 xml:space="preserve">AL324 Autolux </w:t>
            </w:r>
            <w:r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Bezbarvý nátěr </w:t>
            </w:r>
            <w:r w:rsidR="0031078E"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>UHS</w:t>
            </w:r>
          </w:p>
          <w:p w:rsidR="0031078E" w:rsidRPr="0031078E" w:rsidRDefault="00CC21EC" w:rsidP="0031078E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</w:pP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</w:t>
            </w:r>
            <w:r w:rsidRPr="00E81E8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a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 xml:space="preserve">    </w:t>
            </w:r>
            <w:r w:rsid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</w:r>
            <w:r w:rsidR="0031078E"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 xml:space="preserve">AL530 Autolux </w:t>
            </w:r>
            <w:r w:rsidRPr="00861BF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Tužidlo</w:t>
            </w:r>
            <w:r w:rsidRPr="00E81E8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 w:rsidR="0031078E"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>UHS – Ekspresowy</w:t>
            </w:r>
            <w:r w:rsidR="0031078E"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  <w:t>(</w:t>
            </w:r>
            <w:r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pod </w:t>
            </w:r>
            <w:r w:rsidR="0031078E"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 xml:space="preserve">18°C) </w:t>
            </w:r>
          </w:p>
          <w:p w:rsidR="0031078E" w:rsidRPr="0031078E" w:rsidRDefault="0031078E" w:rsidP="0031078E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</w:pP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</w:r>
            <w:r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 xml:space="preserve">AL532 Autolux </w:t>
            </w:r>
            <w:r w:rsidR="00CC21EC" w:rsidRPr="00861BF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Tužidlo</w:t>
            </w:r>
            <w:r w:rsidR="00CC21EC" w:rsidRPr="00E81E8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 w:rsidR="00CC21EC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>UHS – Szybki</w:t>
            </w:r>
            <w:r w:rsidR="00CC21EC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</w:r>
            <w:r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>(</w:t>
            </w:r>
            <w:r w:rsidR="00CC21EC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pod </w:t>
            </w:r>
            <w:r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>18°C)</w:t>
            </w:r>
          </w:p>
          <w:p w:rsidR="00C97E01" w:rsidRDefault="0031078E" w:rsidP="0031078E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</w:pP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</w:r>
            <w:r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 xml:space="preserve">AL534 Autolux </w:t>
            </w:r>
            <w:r w:rsidR="00CC21EC" w:rsidRPr="00861BF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Tužidlo</w:t>
            </w:r>
            <w:r w:rsidR="00CC21EC" w:rsidRPr="00E81E8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>UHS – Standardowy</w:t>
            </w:r>
            <w:r w:rsidRPr="0031078E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  <w:t>(18 – 30°C)</w:t>
            </w:r>
          </w:p>
          <w:p w:rsidR="0031078E" w:rsidRPr="001E3EFD" w:rsidRDefault="0031078E" w:rsidP="0031078E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</w:pPr>
          </w:p>
        </w:tc>
      </w:tr>
      <w:tr w:rsidR="00C6432F" w:rsidRPr="004C21BF" w:rsidTr="00BB52EF">
        <w:trPr>
          <w:trHeight w:val="335"/>
        </w:trPr>
        <w:tc>
          <w:tcPr>
            <w:tcW w:w="1629" w:type="dxa"/>
          </w:tcPr>
          <w:p w:rsidR="00CC21EC" w:rsidRPr="0023489B" w:rsidRDefault="00CC21EC" w:rsidP="00CC21EC">
            <w:pPr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6"/>
                <w:szCs w:val="24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b/>
                <w:iCs/>
                <w:sz w:val="16"/>
                <w:szCs w:val="24"/>
                <w:lang w:val="cs-CZ"/>
              </w:rPr>
              <w:t>Příprava podloží</w:t>
            </w:r>
          </w:p>
          <w:p w:rsidR="00C6432F" w:rsidRPr="00434D31" w:rsidRDefault="00C6432F" w:rsidP="00C6432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8"/>
                <w:szCs w:val="24"/>
                <w:lang w:val="pl-PL"/>
              </w:rPr>
            </w:pPr>
          </w:p>
        </w:tc>
        <w:tc>
          <w:tcPr>
            <w:tcW w:w="8226" w:type="dxa"/>
          </w:tcPr>
          <w:p w:rsidR="0031078E" w:rsidRDefault="004C21BF" w:rsidP="0031078E">
            <w:pPr>
              <w:tabs>
                <w:tab w:val="num" w:pos="72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  <w:r w:rsidRPr="00CC21EC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Aplikovat na vodou ředitelné základní barvy. Před aplikací je nutné se seznámit s technickým listem základní barvy</w:t>
            </w:r>
            <w:r w:rsidR="0031078E" w:rsidRPr="00CC21EC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>.</w:t>
            </w:r>
          </w:p>
          <w:p w:rsidR="00CC21EC" w:rsidRDefault="00CC21EC" w:rsidP="0031078E">
            <w:pPr>
              <w:tabs>
                <w:tab w:val="num" w:pos="72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</w:p>
          <w:p w:rsidR="00CC21EC" w:rsidRPr="00EC1115" w:rsidRDefault="00CC21EC" w:rsidP="00CC21E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Pozor!</w:t>
            </w:r>
          </w:p>
          <w:p w:rsidR="00CC21EC" w:rsidRPr="00EC1115" w:rsidRDefault="00CC21EC" w:rsidP="00CC21E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Nepřekračovat 24 hodin odpařování základní barvy před aplikací bezbarvého nátěru.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br/>
              <w:t>V případě překročení výše uvedeného času důkladně obrousit a nanést další vrstvu základní barvy.</w:t>
            </w:r>
          </w:p>
          <w:p w:rsidR="00CC21EC" w:rsidRPr="00EC1115" w:rsidRDefault="00CC21EC" w:rsidP="00CC21EC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</w:p>
          <w:p w:rsidR="00CC21EC" w:rsidRPr="00EC1115" w:rsidRDefault="00CC21EC" w:rsidP="00CC21EC">
            <w:pPr>
              <w:tabs>
                <w:tab w:val="num" w:pos="72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Bezprostředně před aplikací nátěru otřít základní barvu utěrkou pohlcující prach.</w:t>
            </w:r>
          </w:p>
          <w:p w:rsidR="0031078E" w:rsidRPr="00CC21EC" w:rsidRDefault="0031078E" w:rsidP="0031078E">
            <w:pPr>
              <w:tabs>
                <w:tab w:val="num" w:pos="72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</w:p>
        </w:tc>
      </w:tr>
      <w:tr w:rsidR="006F63DD" w:rsidRPr="004C21BF" w:rsidTr="00BB52EF">
        <w:trPr>
          <w:trHeight w:val="1149"/>
        </w:trPr>
        <w:tc>
          <w:tcPr>
            <w:tcW w:w="1629" w:type="dxa"/>
            <w:hideMark/>
          </w:tcPr>
          <w:p w:rsidR="006F63DD" w:rsidRPr="00434D31" w:rsidRDefault="006F63DD" w:rsidP="00ED062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>D</w:t>
            </w:r>
            <w:r w:rsidRPr="00434D31"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528955" cy="565150"/>
                  <wp:effectExtent l="0" t="0" r="4445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6" w:type="dxa"/>
          </w:tcPr>
          <w:p w:rsidR="00CC21EC" w:rsidRPr="0023489B" w:rsidRDefault="00CC21EC" w:rsidP="00CC21E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Dávkování</w:t>
            </w:r>
            <w:r w:rsidRPr="0023489B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  <w:t>Podle objemu</w:t>
            </w:r>
          </w:p>
          <w:p w:rsidR="00BB52EF" w:rsidRDefault="00BB52EF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</w:p>
          <w:p w:rsidR="006F63DD" w:rsidRPr="00434D31" w:rsidRDefault="00CC21EC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Nátěr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 xml:space="preserve"> </w:t>
            </w:r>
            <w:r w:rsidR="0031078E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ab/>
            </w:r>
            <w:r w:rsidR="00E32650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ab/>
            </w:r>
            <w:r w:rsidR="0031078E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2</w:t>
            </w: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 xml:space="preserve"> měr. jedn.</w:t>
            </w:r>
          </w:p>
          <w:p w:rsidR="006F63DD" w:rsidRDefault="00CC21EC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  <w:r w:rsidRPr="00861BF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Tužidlo</w:t>
            </w:r>
            <w:r w:rsidRPr="00E81E8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 </w:t>
            </w:r>
            <w:r w:rsidR="00E32650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</w:r>
            <w:r w:rsidR="006F63D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 xml:space="preserve">1 </w:t>
            </w: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>měr. jedn.</w:t>
            </w:r>
          </w:p>
          <w:p w:rsidR="001E3EFD" w:rsidRPr="006F63DD" w:rsidRDefault="001E3EFD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</w:p>
          <w:p w:rsidR="006F63DD" w:rsidRDefault="00CC21EC" w:rsidP="00C6432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 xml:space="preserve">Životnost směsi ve </w:t>
            </w:r>
            <w:r w:rsidR="006F63D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20</w:t>
            </w:r>
            <w:r w:rsidR="006F63DD" w:rsidRPr="00434D31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>°</w:t>
            </w:r>
            <w:r w:rsidR="006F63D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C</w:t>
            </w:r>
            <w:r w:rsidR="006F63D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ab/>
            </w:r>
            <w:r w:rsidR="0031078E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1 – 2 godz.</w:t>
            </w:r>
          </w:p>
          <w:p w:rsidR="001E3EFD" w:rsidRPr="006F63DD" w:rsidRDefault="001E3EFD" w:rsidP="00C6432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</w:p>
        </w:tc>
      </w:tr>
      <w:tr w:rsidR="006F63DD" w:rsidRPr="004C21BF" w:rsidTr="00BB52EF">
        <w:trPr>
          <w:trHeight w:val="726"/>
        </w:trPr>
        <w:tc>
          <w:tcPr>
            <w:tcW w:w="1629" w:type="dxa"/>
            <w:hideMark/>
          </w:tcPr>
          <w:p w:rsidR="006F63DD" w:rsidRPr="00434D31" w:rsidRDefault="006F63DD" w:rsidP="00C6432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8"/>
                <w:szCs w:val="24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31495" cy="531495"/>
                  <wp:effectExtent l="0" t="0" r="1905" b="1905"/>
                  <wp:docPr id="28" name="Picture 28" descr="gra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ra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CC21EC" w:rsidRPr="0023489B" w:rsidRDefault="00CC21EC" w:rsidP="00CC21EC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Používat běžnou pistoli, HVLP nebo podobnou.</w:t>
            </w:r>
          </w:p>
          <w:p w:rsidR="00CC21EC" w:rsidRPr="0023489B" w:rsidRDefault="00CC21EC" w:rsidP="00CC21EC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</w:p>
          <w:p w:rsidR="00CC21EC" w:rsidRPr="0023489B" w:rsidRDefault="00CC21EC" w:rsidP="00CC21EC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Tryska Ø 1,2–1,4 mm, tlak podle doporučení výrobce.</w:t>
            </w:r>
          </w:p>
          <w:p w:rsidR="006F63DD" w:rsidRPr="00CC21EC" w:rsidRDefault="006F63DD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</w:p>
        </w:tc>
      </w:tr>
      <w:tr w:rsidR="00C6432F" w:rsidRPr="004C21BF" w:rsidTr="00BB52EF">
        <w:trPr>
          <w:trHeight w:val="812"/>
        </w:trPr>
        <w:tc>
          <w:tcPr>
            <w:tcW w:w="1629" w:type="dxa"/>
            <w:hideMark/>
          </w:tcPr>
          <w:p w:rsidR="00C6432F" w:rsidRPr="00434D31" w:rsidRDefault="00C6432F" w:rsidP="00C6432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8"/>
                <w:szCs w:val="24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20700" cy="520700"/>
                  <wp:effectExtent l="0" t="0" r="0" b="0"/>
                  <wp:docPr id="27" name="Picture 27" descr="coats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ats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1E3EFD" w:rsidRPr="00434D31" w:rsidRDefault="00CC21EC" w:rsidP="00BB52E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  <w:r w:rsidRPr="00EC1115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>Aplikovat jednu prostřední vrstvu, nechat odpařit a následně aplikovat jednu plnou vrstvu tak, aby došlo k vytvoření 50–60 µm suchého filmu</w:t>
            </w:r>
            <w:r w:rsidRPr="00EC1115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.</w:t>
            </w:r>
          </w:p>
        </w:tc>
      </w:tr>
      <w:tr w:rsidR="009833D0" w:rsidRPr="004C21BF" w:rsidTr="00BB52EF">
        <w:trPr>
          <w:trHeight w:val="812"/>
        </w:trPr>
        <w:tc>
          <w:tcPr>
            <w:tcW w:w="1629" w:type="dxa"/>
          </w:tcPr>
          <w:p w:rsidR="009833D0" w:rsidRPr="00434D31" w:rsidRDefault="009833D0" w:rsidP="009833D0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31495" cy="531495"/>
                  <wp:effectExtent l="0" t="0" r="1905" b="1905"/>
                  <wp:docPr id="26" name="Picture 26" descr="flash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ash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ED0624" w:rsidRDefault="00CC21EC" w:rsidP="0092741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 xml:space="preserve">Odpařování ve </w:t>
            </w:r>
            <w:r w:rsidR="00ED0624" w:rsidRPr="0092741A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20°C</w:t>
            </w:r>
          </w:p>
          <w:p w:rsidR="00ED0624" w:rsidRDefault="00ED0624" w:rsidP="0092741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</w:p>
          <w:p w:rsidR="00CC21EC" w:rsidRPr="0023489B" w:rsidRDefault="00CC21EC" w:rsidP="00CC21EC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>Mezi vrstvami 5–10 minut, až do úplného zmatovění nátěru.</w:t>
            </w:r>
          </w:p>
          <w:p w:rsidR="00ED0624" w:rsidRPr="00CC21EC" w:rsidRDefault="00ED0624" w:rsidP="0031078E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</w:pPr>
          </w:p>
        </w:tc>
      </w:tr>
      <w:tr w:rsidR="00366F95" w:rsidRPr="004C21BF" w:rsidTr="00BB52EF">
        <w:trPr>
          <w:trHeight w:val="812"/>
        </w:trPr>
        <w:tc>
          <w:tcPr>
            <w:tcW w:w="1629" w:type="dxa"/>
          </w:tcPr>
          <w:p w:rsidR="00366F95" w:rsidRPr="00434D31" w:rsidRDefault="00366F95" w:rsidP="00366F95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:rsidR="00366F95" w:rsidRPr="00434D31" w:rsidRDefault="00366F95" w:rsidP="00366F95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val="pl-PL" w:eastAsia="pl-PL"/>
              </w:rPr>
            </w:pPr>
            <w:r w:rsidRPr="00434D31">
              <w:rPr>
                <w:rFonts w:ascii="Verdana" w:eastAsia="Times New Roman" w:hAnsi="Verdana" w:cs="Times New Roman"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31495" cy="520700"/>
                  <wp:effectExtent l="0" t="0" r="1905" b="0"/>
                  <wp:docPr id="1" name="Picture 25" descr="tim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m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366F95" w:rsidRDefault="00366F95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</w:p>
          <w:p w:rsidR="00366F95" w:rsidRPr="00CC21EC" w:rsidRDefault="00CC21EC" w:rsidP="00CC21E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Sušení na vzduchu, ve 20 </w:t>
            </w:r>
            <w:r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°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C</w:t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</w:p>
          <w:p w:rsidR="00366F95" w:rsidRDefault="00CC21EC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Suchý s ohledem na usazování prachu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  <w:t>40 – 75 min.</w:t>
            </w:r>
          </w:p>
          <w:p w:rsidR="00366F95" w:rsidRPr="0031078E" w:rsidRDefault="00CC21EC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Suchý na dotek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 xml:space="preserve">              </w:t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 xml:space="preserve"> </w:t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 xml:space="preserve">6 – 8 </w:t>
            </w:r>
            <w:r w:rsidR="00980F44"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hod.</w:t>
            </w:r>
          </w:p>
          <w:p w:rsidR="00366F95" w:rsidRPr="0031078E" w:rsidRDefault="00A755EA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 xml:space="preserve">Vytvrzení </w:t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 w:rsidR="00CC21EC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 xml:space="preserve">                                      </w:t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  <w:t xml:space="preserve">12 – 16 </w:t>
            </w:r>
            <w:r w:rsidR="00980F44"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hod.</w:t>
            </w:r>
          </w:p>
          <w:p w:rsidR="00366F95" w:rsidRDefault="00CC21EC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Leštění / další práce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 xml:space="preserve"> </w:t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 xml:space="preserve">                                      </w:t>
            </w:r>
            <w:r w:rsidR="00366F95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  <w:t xml:space="preserve">16 – 20 </w:t>
            </w:r>
            <w:r w:rsidR="00980F44"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hod.</w:t>
            </w:r>
          </w:p>
          <w:p w:rsidR="00366F95" w:rsidRDefault="00980F44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 xml:space="preserve"> </w:t>
            </w:r>
          </w:p>
          <w:p w:rsidR="00366F95" w:rsidRPr="00CC21EC" w:rsidRDefault="00CC21EC" w:rsidP="00CC21E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Nahřívání v kabině, v 60 °C</w:t>
            </w:r>
            <w:r w:rsidR="00366F95" w:rsidRPr="0092741A"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  <w:tab/>
            </w:r>
          </w:p>
          <w:p w:rsidR="00366F95" w:rsidRPr="00CC21EC" w:rsidRDefault="00CC21EC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S tužidlem </w:t>
            </w:r>
            <w:r w:rsidR="00366F95"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AL530</w:t>
            </w:r>
            <w:r w:rsidR="00366F95"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ab/>
            </w:r>
            <w:r w:rsidR="00366F95"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ab/>
            </w:r>
            <w:r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                                       </w:t>
            </w:r>
            <w:r w:rsidR="00366F95"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ab/>
              <w:t>20 min.</w:t>
            </w:r>
          </w:p>
          <w:p w:rsidR="00366F95" w:rsidRPr="00CC21EC" w:rsidRDefault="00CC21EC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S </w:t>
            </w:r>
            <w:r>
              <w:t>t</w:t>
            </w:r>
            <w:r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užidlem AL532 nebo</w:t>
            </w:r>
            <w:r w:rsidR="00366F95"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AL534</w:t>
            </w:r>
            <w:r w:rsidR="00366F95"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ab/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                          </w:t>
            </w:r>
            <w:r w:rsidR="00366F95" w:rsidRPr="00CC21EC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ab/>
              <w:t>30 min.</w:t>
            </w:r>
          </w:p>
          <w:p w:rsidR="00366F95" w:rsidRPr="00980F44" w:rsidRDefault="00CC21EC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Leštění / další práce</w:t>
            </w:r>
            <w:r w:rsidRPr="00980F44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                                    </w:t>
            </w:r>
            <w:r w:rsidR="00366F95" w:rsidRPr="00980F44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ab/>
            </w:r>
            <w:r w:rsidR="00366F95" w:rsidRPr="00980F44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ab/>
            </w:r>
            <w:r w:rsidR="00980F44"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 xml:space="preserve"> Po vychladnutí dílu</w:t>
            </w:r>
          </w:p>
          <w:p w:rsidR="00366F95" w:rsidRPr="00980F44" w:rsidRDefault="00366F95" w:rsidP="00366F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  <w:p w:rsidR="00980F44" w:rsidRPr="00E81E8F" w:rsidRDefault="00980F44" w:rsidP="00980F4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81E8F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* Je třeba vzít v úvahu dobu čekání na dosažení požadované teploty nahřívaného dílu.</w:t>
            </w:r>
          </w:p>
          <w:p w:rsidR="00366F95" w:rsidRPr="00980F44" w:rsidRDefault="00366F95" w:rsidP="00366F95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</w:pPr>
          </w:p>
        </w:tc>
      </w:tr>
    </w:tbl>
    <w:p w:rsidR="009833D0" w:rsidRPr="004C21BF" w:rsidRDefault="009833D0">
      <w:pPr>
        <w:rPr>
          <w:lang w:val="pl-PL"/>
        </w:rPr>
      </w:pPr>
      <w:r w:rsidRPr="004C21BF">
        <w:rPr>
          <w:lang w:val="pl-PL"/>
        </w:rPr>
        <w:br w:type="page"/>
      </w:r>
      <w:bookmarkStart w:id="0" w:name="_GoBack"/>
      <w:bookmarkEnd w:id="0"/>
    </w:p>
    <w:tbl>
      <w:tblPr>
        <w:tblpPr w:leftFromText="181" w:rightFromText="181" w:bottomFromText="200" w:vertAnchor="page" w:horzAnchor="margin" w:tblpXSpec="center" w:tblpY="2764"/>
        <w:tblW w:w="9855" w:type="dxa"/>
        <w:tblBorders>
          <w:top w:val="single" w:sz="18" w:space="0" w:color="A6A6A6" w:themeColor="background1" w:themeShade="A6"/>
          <w:left w:val="single" w:sz="18" w:space="0" w:color="999999"/>
          <w:bottom w:val="single" w:sz="18" w:space="0" w:color="999999"/>
          <w:right w:val="single" w:sz="18" w:space="0" w:color="999999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C6432F" w:rsidRPr="00E65629" w:rsidTr="00ED0624">
        <w:trPr>
          <w:trHeight w:val="740"/>
        </w:trPr>
        <w:tc>
          <w:tcPr>
            <w:tcW w:w="9855" w:type="dxa"/>
            <w:hideMark/>
          </w:tcPr>
          <w:p w:rsidR="00980F44" w:rsidRPr="00C809E9" w:rsidRDefault="00980F44" w:rsidP="00980F44">
            <w:pPr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</w:pPr>
            <w:r w:rsidRPr="00C809E9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  <w:lastRenderedPageBreak/>
              <w:t>Čištění vybavení</w:t>
            </w:r>
          </w:p>
          <w:p w:rsidR="00C6432F" w:rsidRPr="00980F44" w:rsidRDefault="00980F44" w:rsidP="00980F44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Umýt všechny součásti vybavení ihned po ukončení aplikace pomocí vhodného ředidla</w:t>
            </w:r>
            <w:r w:rsidRPr="003F5450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cs-CZ"/>
              </w:rPr>
              <w:t xml:space="preserve"> Autolux</w:t>
            </w: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. Vzniklý odpad likvidovat v souladu s platnými předpisy.</w:t>
            </w:r>
          </w:p>
        </w:tc>
      </w:tr>
      <w:tr w:rsidR="00C6432F" w:rsidRPr="004C21BF" w:rsidTr="00ED0624">
        <w:trPr>
          <w:trHeight w:val="858"/>
        </w:trPr>
        <w:tc>
          <w:tcPr>
            <w:tcW w:w="9855" w:type="dxa"/>
          </w:tcPr>
          <w:p w:rsidR="00980F44" w:rsidRPr="003F5450" w:rsidRDefault="00980F44" w:rsidP="00980F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  <w:t>Těkavé organické sloučeniny</w:t>
            </w:r>
          </w:p>
          <w:p w:rsidR="00980F44" w:rsidRPr="003F5450" w:rsidRDefault="00980F44" w:rsidP="00980F44">
            <w:pPr>
              <w:keepNext/>
              <w:spacing w:after="0" w:line="240" w:lineRule="auto"/>
              <w:ind w:right="-108"/>
              <w:outlineLvl w:val="0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Limit obsahu TOS pro tento pr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odukt (kategorie produktu: IIB.d) činí 42</w:t>
            </w: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0 g/l. Obsah TOS ve výrobku připra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veném k použití činí maximálně </w:t>
            </w: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4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2</w:t>
            </w: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0 g/l. V závislosti na způsobu použití může být obsah TOS v hotovém výrobku nižší, než je určen v unijní směrnici.</w:t>
            </w:r>
          </w:p>
          <w:p w:rsidR="00ED0624" w:rsidRPr="00980F44" w:rsidRDefault="00ED0624" w:rsidP="00ED0624">
            <w:pPr>
              <w:keepNext/>
              <w:spacing w:after="0" w:line="240" w:lineRule="auto"/>
              <w:ind w:right="-108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val="cs-CZ"/>
              </w:rPr>
            </w:pPr>
          </w:p>
        </w:tc>
      </w:tr>
      <w:tr w:rsidR="00ED0624" w:rsidRPr="004C21BF" w:rsidTr="00ED0624">
        <w:trPr>
          <w:trHeight w:val="858"/>
        </w:trPr>
        <w:tc>
          <w:tcPr>
            <w:tcW w:w="9855" w:type="dxa"/>
          </w:tcPr>
          <w:p w:rsidR="00980F44" w:rsidRPr="003F5450" w:rsidRDefault="00980F44" w:rsidP="00980F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  <w:t>Doprava a skladování</w:t>
            </w:r>
          </w:p>
          <w:p w:rsidR="00980F44" w:rsidRPr="003F5450" w:rsidRDefault="00980F44" w:rsidP="0098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Seznámit se s instrukcemi na etiketě produktu. Skladovací teplota: 5 až 35 °C. Skladovat podle lokálních předpisů. Skladovat ve vyčleněném a schváleném úseku. Skladovat v originálním obalu, daleko od působení slunečních paprsků; v suché, chladné a dobře větrané místnosti; daleko od neshodných materiálů (viz kapitola 10 technické charakteristiky), nápojů a jídla. Eliminovat veškeré zdroje ohně. Držet odděleně od oxidantů. Nádoba musí být uzavřená a těsná až do doby použití. Nádoby, které byly otevřené, musejí být opětovně utěsněné a skladované ve svislé poloze, aby nedošlo k vytečení látky. Neskladovat v neoznačených nádobách. Používat vhodné nádoby předcházející kontaminaci prostředí.</w:t>
            </w:r>
          </w:p>
          <w:p w:rsidR="00ED0624" w:rsidRPr="00980F44" w:rsidRDefault="00ED0624" w:rsidP="00E6562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</w:p>
        </w:tc>
      </w:tr>
    </w:tbl>
    <w:p w:rsidR="00BE3CC3" w:rsidRPr="00980F44" w:rsidRDefault="00BE3CC3">
      <w:pPr>
        <w:rPr>
          <w:lang w:val="cs-CZ"/>
        </w:rPr>
      </w:pPr>
    </w:p>
    <w:sectPr w:rsidR="00BE3CC3" w:rsidRPr="00980F44" w:rsidSect="009833D0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991" w:bottom="1417" w:left="993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B4" w:rsidRDefault="00426EB4" w:rsidP="00843B83">
      <w:pPr>
        <w:spacing w:after="0" w:line="240" w:lineRule="auto"/>
      </w:pPr>
      <w:r>
        <w:separator/>
      </w:r>
    </w:p>
  </w:endnote>
  <w:endnote w:type="continuationSeparator" w:id="0">
    <w:p w:rsidR="00426EB4" w:rsidRDefault="00426EB4" w:rsidP="0084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EC" w:rsidRPr="00C809E9" w:rsidRDefault="00CC21EC" w:rsidP="00CC21EC">
    <w:pPr>
      <w:pStyle w:val="EinfacherAbsatz"/>
      <w:spacing w:line="240" w:lineRule="auto"/>
      <w:rPr>
        <w:rFonts w:ascii="Verdana" w:hAnsi="Verdana" w:cs="Verdana"/>
        <w:spacing w:val="-1"/>
        <w:sz w:val="14"/>
        <w:szCs w:val="14"/>
        <w:lang w:val="cs-CZ"/>
      </w:rPr>
    </w:pPr>
    <w:r w:rsidRPr="00C809E9">
      <w:rPr>
        <w:rFonts w:ascii="Verdana" w:hAnsi="Verdana" w:cs="Verdana-Bold"/>
        <w:b/>
        <w:bCs/>
        <w:spacing w:val="-1"/>
        <w:sz w:val="14"/>
        <w:szCs w:val="14"/>
        <w:lang w:val="cs-CZ"/>
      </w:rPr>
      <w:t xml:space="preserve">Výrobky uvedené v tomto dokumentu jsou určeny výhradně k profesionálnímu použití. </w:t>
    </w:r>
    <w:r w:rsidRPr="00C809E9">
      <w:rPr>
        <w:rFonts w:ascii="Verdana" w:hAnsi="Verdana" w:cs="Verdana-Bold"/>
        <w:b/>
        <w:bCs/>
        <w:spacing w:val="-1"/>
        <w:sz w:val="14"/>
        <w:szCs w:val="14"/>
        <w:lang w:val="cs-CZ"/>
      </w:rPr>
      <w:br/>
    </w:r>
    <w:r w:rsidRPr="00C809E9">
      <w:rPr>
        <w:rFonts w:ascii="Verdana" w:hAnsi="Verdana" w:cs="Verdana-Bold"/>
        <w:bCs/>
        <w:spacing w:val="-1"/>
        <w:sz w:val="14"/>
        <w:szCs w:val="14"/>
        <w:lang w:val="cs-CZ"/>
      </w:rPr>
      <w:t>Výrobky nelze používat jinak než níže popsaným způsobem</w:t>
    </w:r>
    <w:r w:rsidRPr="00C809E9">
      <w:rPr>
        <w:rFonts w:ascii="Verdana" w:hAnsi="Verdana" w:cs="Verdana"/>
        <w:spacing w:val="-1"/>
        <w:sz w:val="14"/>
        <w:szCs w:val="14"/>
        <w:lang w:val="cs-CZ"/>
      </w:rPr>
      <w:t>.  Informace obsažené v tomto dokumentu vycházejí z aktuálního stupně vědeckých a technických znalostí. Uživatel musí přijmout všechna nezbytná opatření za účelem zajištění použití výrobku v souladu s jeho určením. Před použitím výrobku je nutné se seznámit s informacemi uvedenými v technické charakteristice jednotlivých výrobků.</w:t>
    </w:r>
    <w:r w:rsidRPr="00C809E9">
      <w:rPr>
        <w:rFonts w:ascii="Verdana" w:hAnsi="Verdana" w:cs="Verdana"/>
        <w:spacing w:val="-1"/>
        <w:sz w:val="14"/>
        <w:szCs w:val="14"/>
        <w:lang w:val="cs-CZ"/>
      </w:rPr>
      <w:br/>
    </w:r>
    <w:r w:rsidRPr="00C809E9">
      <w:rPr>
        <w:rFonts w:ascii="Verdana" w:hAnsi="Verdana" w:cs="Verdana"/>
        <w:spacing w:val="-1"/>
        <w:sz w:val="14"/>
        <w:szCs w:val="14"/>
        <w:lang w:val="cs-CZ"/>
      </w:rPr>
      <w:br/>
      <w:t xml:space="preserve">Datum aktualizace: </w:t>
    </w:r>
    <w:r w:rsidRPr="00C809E9">
      <w:rPr>
        <w:rFonts w:ascii="Verdana" w:hAnsi="Verdana" w:cs="Verdana"/>
        <w:spacing w:val="-1"/>
        <w:sz w:val="14"/>
        <w:szCs w:val="14"/>
        <w:lang w:val="cs-CZ"/>
      </w:rPr>
      <w:fldChar w:fldCharType="begin"/>
    </w:r>
    <w:r w:rsidRPr="00C809E9">
      <w:rPr>
        <w:rFonts w:ascii="Verdana" w:hAnsi="Verdana" w:cs="Verdana"/>
        <w:spacing w:val="-1"/>
        <w:sz w:val="14"/>
        <w:szCs w:val="14"/>
        <w:lang w:val="cs-CZ"/>
      </w:rPr>
      <w:instrText xml:space="preserve"> TIME \@ "yyyy-MM-dd" </w:instrText>
    </w:r>
    <w:r w:rsidRPr="00C809E9">
      <w:rPr>
        <w:rFonts w:ascii="Verdana" w:hAnsi="Verdana" w:cs="Verdana"/>
        <w:spacing w:val="-1"/>
        <w:sz w:val="14"/>
        <w:szCs w:val="14"/>
        <w:lang w:val="cs-CZ"/>
      </w:rPr>
      <w:fldChar w:fldCharType="separate"/>
    </w:r>
    <w:r w:rsidR="00A755EA">
      <w:rPr>
        <w:rFonts w:ascii="Verdana" w:hAnsi="Verdana" w:cs="Verdana"/>
        <w:noProof/>
        <w:spacing w:val="-1"/>
        <w:sz w:val="14"/>
        <w:szCs w:val="14"/>
        <w:lang w:val="cs-CZ"/>
      </w:rPr>
      <w:t>2015-10-16</w:t>
    </w:r>
    <w:r w:rsidRPr="00C809E9">
      <w:rPr>
        <w:rFonts w:ascii="Verdana" w:hAnsi="Verdana" w:cs="Verdana"/>
        <w:spacing w:val="-1"/>
        <w:sz w:val="14"/>
        <w:szCs w:val="14"/>
        <w:lang w:val="cs-CZ"/>
      </w:rPr>
      <w:fldChar w:fldCharType="end"/>
    </w:r>
    <w:r w:rsidRPr="00C809E9">
      <w:rPr>
        <w:rFonts w:ascii="Verdana" w:hAnsi="Verdana" w:cs="Verdana"/>
        <w:spacing w:val="-1"/>
        <w:sz w:val="14"/>
        <w:szCs w:val="14"/>
        <w:lang w:val="cs-CZ"/>
      </w:rPr>
      <w:t xml:space="preserve">. 9. 2015. Tato edice listu nahrazuje veškerá předchozí vydání. </w:t>
    </w:r>
    <w:r w:rsidRPr="00C809E9">
      <w:rPr>
        <w:rFonts w:ascii="Verdana" w:hAnsi="Verdana" w:cs="Verdana"/>
        <w:spacing w:val="-1"/>
        <w:sz w:val="14"/>
        <w:szCs w:val="14"/>
        <w:lang w:val="cs-CZ"/>
      </w:rPr>
      <w:tab/>
    </w:r>
    <w:r w:rsidRPr="00C809E9">
      <w:rPr>
        <w:rFonts w:ascii="Verdana" w:hAnsi="Verdana" w:cs="Verdana"/>
        <w:spacing w:val="-1"/>
        <w:sz w:val="14"/>
        <w:szCs w:val="14"/>
        <w:lang w:val="cs-CZ"/>
      </w:rPr>
      <w:tab/>
    </w:r>
    <w:r w:rsidRPr="00C809E9">
      <w:rPr>
        <w:rFonts w:ascii="Verdana" w:hAnsi="Verdana" w:cs="Verdana"/>
        <w:spacing w:val="-1"/>
        <w:sz w:val="14"/>
        <w:szCs w:val="14"/>
        <w:lang w:val="cs-CZ"/>
      </w:rPr>
      <w:tab/>
    </w:r>
    <w:r w:rsidRPr="00C809E9">
      <w:rPr>
        <w:rFonts w:ascii="Verdana" w:hAnsi="Verdana" w:cs="Arial"/>
        <w:b/>
        <w:bCs/>
        <w:sz w:val="14"/>
        <w:szCs w:val="14"/>
        <w:lang w:val="cs-CZ"/>
      </w:rPr>
      <w:t xml:space="preserve">Strana </w: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begin"/>
    </w:r>
    <w:r w:rsidRPr="00C809E9">
      <w:rPr>
        <w:rFonts w:ascii="Verdana" w:hAnsi="Verdana" w:cs="Arial"/>
        <w:b/>
        <w:bCs/>
        <w:sz w:val="14"/>
        <w:szCs w:val="14"/>
        <w:lang w:val="cs-CZ"/>
      </w:rPr>
      <w:instrText xml:space="preserve"> PAGE </w:instrTex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separate"/>
    </w:r>
    <w:r w:rsidR="00A755EA">
      <w:rPr>
        <w:rFonts w:ascii="Verdana" w:hAnsi="Verdana" w:cs="Arial"/>
        <w:b/>
        <w:bCs/>
        <w:noProof/>
        <w:sz w:val="14"/>
        <w:szCs w:val="14"/>
        <w:lang w:val="cs-CZ"/>
      </w:rPr>
      <w:t>1</w: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end"/>
    </w:r>
    <w:r w:rsidRPr="00C809E9">
      <w:rPr>
        <w:rFonts w:ascii="Verdana" w:hAnsi="Verdana" w:cs="Arial"/>
        <w:b/>
        <w:bCs/>
        <w:sz w:val="14"/>
        <w:szCs w:val="14"/>
        <w:lang w:val="cs-CZ"/>
      </w:rPr>
      <w:t xml:space="preserve"> z </w: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begin"/>
    </w:r>
    <w:r w:rsidRPr="00C809E9">
      <w:rPr>
        <w:rFonts w:ascii="Verdana" w:hAnsi="Verdana" w:cs="Arial"/>
        <w:b/>
        <w:bCs/>
        <w:sz w:val="14"/>
        <w:szCs w:val="14"/>
        <w:lang w:val="cs-CZ"/>
      </w:rPr>
      <w:instrText xml:space="preserve"> NUMPAGES </w:instrTex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separate"/>
    </w:r>
    <w:r w:rsidR="00A755EA">
      <w:rPr>
        <w:rFonts w:ascii="Verdana" w:hAnsi="Verdana" w:cs="Arial"/>
        <w:b/>
        <w:bCs/>
        <w:noProof/>
        <w:sz w:val="14"/>
        <w:szCs w:val="14"/>
        <w:lang w:val="cs-CZ"/>
      </w:rPr>
      <w:t>2</w: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end"/>
    </w:r>
    <w:r w:rsidRPr="00C809E9">
      <w:rPr>
        <w:rFonts w:ascii="Verdana" w:hAnsi="Verdana" w:cs="Verdana"/>
        <w:spacing w:val="-1"/>
        <w:sz w:val="14"/>
        <w:szCs w:val="14"/>
        <w:lang w:val="cs-CZ"/>
      </w:rPr>
      <w:br/>
    </w:r>
  </w:p>
  <w:p w:rsidR="00CC21EC" w:rsidRPr="00194B83" w:rsidRDefault="00CC21EC" w:rsidP="00CC21EC">
    <w:pPr>
      <w:pStyle w:val="EinfacherAbsatz"/>
      <w:spacing w:line="240" w:lineRule="auto"/>
      <w:rPr>
        <w:rFonts w:ascii="Verdana" w:hAnsi="Verdana"/>
        <w:sz w:val="14"/>
        <w:szCs w:val="14"/>
        <w:lang w:val="cs-CZ"/>
      </w:rPr>
    </w:pPr>
    <w:r w:rsidRPr="00C809E9">
      <w:rPr>
        <w:rFonts w:ascii="Verdana" w:hAnsi="Verdana"/>
        <w:sz w:val="14"/>
        <w:szCs w:val="14"/>
        <w:lang w:val="cs-CZ"/>
      </w:rPr>
      <w:t>Značka AUTOLUX® a logo AUTOLUX® jsou vyhrazenými obchodními značkami firmy PPG Industries Ohio, Inc</w:t>
    </w:r>
    <w:r w:rsidRPr="00194B83">
      <w:rPr>
        <w:rFonts w:ascii="Verdana" w:hAnsi="Verdana"/>
        <w:sz w:val="14"/>
        <w:szCs w:val="14"/>
        <w:lang w:val="cs-CZ"/>
      </w:rPr>
      <w:t>.</w:t>
    </w:r>
  </w:p>
  <w:p w:rsidR="009833D0" w:rsidRPr="00CC21EC" w:rsidRDefault="009833D0" w:rsidP="009833D0">
    <w:pPr>
      <w:pStyle w:val="EinfacherAbsatz"/>
      <w:spacing w:line="240" w:lineRule="auto"/>
      <w:rPr>
        <w:rFonts w:ascii="Verdana" w:hAnsi="Verdana" w:cs="Verdana"/>
        <w:spacing w:val="-1"/>
        <w:sz w:val="14"/>
        <w:szCs w:val="14"/>
        <w:lang w:val="cs-CZ"/>
      </w:rPr>
    </w:pPr>
  </w:p>
  <w:p w:rsidR="009833D0" w:rsidRPr="00FE0394" w:rsidRDefault="009833D0" w:rsidP="009833D0">
    <w:pPr>
      <w:pStyle w:val="EinfacherAbsatz"/>
      <w:spacing w:line="240" w:lineRule="auto"/>
      <w:rPr>
        <w:rFonts w:ascii="Verdana" w:hAnsi="Verdana" w:cs="Verdana"/>
        <w:spacing w:val="-1"/>
        <w:sz w:val="14"/>
        <w:szCs w:val="14"/>
        <w:lang w:val="en-GB"/>
      </w:rPr>
    </w:pPr>
    <w:r w:rsidRPr="00FE0394">
      <w:rPr>
        <w:rFonts w:ascii="Verdana" w:hAnsi="Verdana" w:cs="Verdana"/>
        <w:sz w:val="14"/>
        <w:szCs w:val="14"/>
        <w:lang w:val="en-GB"/>
      </w:rPr>
      <w:t>PPG Industries Poland Sp. z o.o., Automotive Refinish, Tel: +48 753 03 10, Fax: +48 753 03 13</w:t>
    </w:r>
  </w:p>
  <w:p w:rsidR="00070BFD" w:rsidRPr="009833D0" w:rsidRDefault="00070BFD">
    <w:pPr>
      <w:pStyle w:val="Zpat"/>
      <w:rPr>
        <w:lang w:val="en-GB"/>
      </w:rPr>
    </w:pPr>
  </w:p>
  <w:p w:rsidR="00070BFD" w:rsidRPr="004C21BF" w:rsidRDefault="00070BFD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B4" w:rsidRDefault="00426EB4" w:rsidP="00843B83">
      <w:pPr>
        <w:spacing w:after="0" w:line="240" w:lineRule="auto"/>
      </w:pPr>
      <w:r>
        <w:separator/>
      </w:r>
    </w:p>
  </w:footnote>
  <w:footnote w:type="continuationSeparator" w:id="0">
    <w:p w:rsidR="00426EB4" w:rsidRDefault="00426EB4" w:rsidP="0084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6B" w:rsidRDefault="00426EB4">
    <w:pPr>
      <w:pStyle w:val="Zhlav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0020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alue PRO_Word Template3leftshad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6B" w:rsidRDefault="00426EB4" w:rsidP="009833D0">
    <w:pPr>
      <w:pStyle w:val="Zhlav"/>
      <w:tabs>
        <w:tab w:val="clear" w:pos="4252"/>
        <w:tab w:val="clear" w:pos="8504"/>
      </w:tabs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2057" type="#_x0000_t202" style="position:absolute;margin-left:10.35pt;margin-top:8.1pt;width:27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" filled="f" stroked="f">
          <v:textbox inset="0,0,0,0">
            <w:txbxContent>
              <w:p w:rsidR="00CC21EC" w:rsidRPr="008F410A" w:rsidRDefault="00CC21EC" w:rsidP="00CC21EC">
                <w:pPr>
                  <w:rPr>
                    <w:rFonts w:ascii="Verdana" w:hAnsi="Verdana"/>
                    <w:b/>
                    <w:color w:val="68B133"/>
                    <w:sz w:val="32"/>
                    <w:szCs w:val="32"/>
                    <w:lang w:val="cs-CZ"/>
                  </w:rPr>
                </w:pPr>
                <w:r w:rsidRPr="008F410A">
                  <w:rPr>
                    <w:rFonts w:ascii="Verdana" w:hAnsi="Verdana"/>
                    <w:b/>
                    <w:bCs/>
                    <w:color w:val="68B133"/>
                    <w:sz w:val="32"/>
                    <w:szCs w:val="32"/>
                    <w:lang w:val="cs-CZ"/>
                  </w:rPr>
                  <w:t>TECHNICKÝ LIST</w:t>
                </w:r>
              </w:p>
              <w:p w:rsidR="009833D0" w:rsidRPr="00CC21EC" w:rsidRDefault="009833D0" w:rsidP="009833D0">
                <w:pPr>
                  <w:rPr>
                    <w:b/>
                    <w:lang w:val="en-US"/>
                  </w:rPr>
                </w:pPr>
                <w:r w:rsidRPr="00CC21EC">
                  <w:rPr>
                    <w:rFonts w:ascii="Helvetica" w:hAnsi="Helvetica"/>
                    <w:b/>
                    <w:bCs/>
                    <w:sz w:val="28"/>
                    <w:lang w:val="en-US"/>
                  </w:rPr>
                  <w:t>AL</w:t>
                </w:r>
                <w:r w:rsidR="0031078E" w:rsidRPr="00CC21EC">
                  <w:rPr>
                    <w:rFonts w:ascii="Helvetica" w:hAnsi="Helvetica"/>
                    <w:b/>
                    <w:bCs/>
                    <w:sz w:val="28"/>
                    <w:lang w:val="en-US"/>
                  </w:rPr>
                  <w:t>324</w:t>
                </w:r>
                <w:r w:rsidRPr="00CC21EC">
                  <w:rPr>
                    <w:rFonts w:ascii="Helvetica" w:hAnsi="Helvetica"/>
                    <w:b/>
                    <w:bCs/>
                    <w:sz w:val="28"/>
                    <w:lang w:val="en-US"/>
                  </w:rPr>
                  <w:t>_V</w:t>
                </w:r>
                <w:r w:rsidRPr="00CC21EC">
                  <w:rPr>
                    <w:rFonts w:ascii="Helvetica" w:hAnsi="Helvetica"/>
                    <w:b/>
                    <w:bCs/>
                    <w:sz w:val="28"/>
                    <w:lang w:val="en-US"/>
                  </w:rPr>
                  <w:br/>
                </w:r>
                <w:r w:rsidR="00A755EA">
                  <w:rPr>
                    <w:rFonts w:ascii="Helvetica" w:hAnsi="Helvetica"/>
                    <w:b/>
                    <w:bCs/>
                    <w:sz w:val="28"/>
                    <w:lang w:val="en-US"/>
                  </w:rPr>
                  <w:t>Bezbarvý krycí lak</w:t>
                </w:r>
                <w:r w:rsidR="00C976DE" w:rsidRPr="00CC21EC">
                  <w:rPr>
                    <w:rFonts w:ascii="Helvetica" w:hAnsi="Helvetica"/>
                    <w:b/>
                    <w:bCs/>
                    <w:sz w:val="28"/>
                    <w:lang w:val="en-US"/>
                  </w:rPr>
                  <w:t xml:space="preserve"> UHS</w:t>
                </w:r>
                <w:r w:rsidR="00ED0624" w:rsidRPr="00CC21EC">
                  <w:rPr>
                    <w:rFonts w:ascii="Helvetica" w:hAnsi="Helvetica"/>
                    <w:b/>
                    <w:bCs/>
                    <w:sz w:val="28"/>
                    <w:lang w:val="en-US"/>
                  </w:rPr>
                  <w:br/>
                </w:r>
              </w:p>
            </w:txbxContent>
          </v:textbox>
          <w10:wrap type="square"/>
        </v:shape>
      </w:pict>
    </w:r>
    <w:r w:rsidR="009833D0" w:rsidRPr="00434D31">
      <w:rPr>
        <w:noProof/>
        <w:lang w:val="cs-CZ"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5971540</wp:posOffset>
          </wp:positionH>
          <wp:positionV relativeFrom="paragraph">
            <wp:posOffset>726440</wp:posOffset>
          </wp:positionV>
          <wp:extent cx="571500" cy="571500"/>
          <wp:effectExtent l="0" t="0" r="0" b="0"/>
          <wp:wrapNone/>
          <wp:docPr id="24" name="Bild 24" descr="VOC-Weltkuge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OC-Weltkuge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33D0" w:rsidRPr="00434D31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0683" cy="106920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lux_TDS-Template-Anc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  <a14:imgEffect>
                              <a14:brightnessContrast bright="-5000" contrast="-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83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76076B">
      <w:rPr>
        <w:noProof/>
        <w:lang w:val="de-DE" w:eastAsia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6B" w:rsidRDefault="00426EB4">
    <w:pPr>
      <w:pStyle w:val="Zhlav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0019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alue PRO_Word Template3leftshado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83"/>
    <w:rsid w:val="00070BFD"/>
    <w:rsid w:val="00076F12"/>
    <w:rsid w:val="000C497D"/>
    <w:rsid w:val="000D49AE"/>
    <w:rsid w:val="000F5695"/>
    <w:rsid w:val="001044BC"/>
    <w:rsid w:val="00104C78"/>
    <w:rsid w:val="00141A55"/>
    <w:rsid w:val="00162D41"/>
    <w:rsid w:val="001B4B51"/>
    <w:rsid w:val="001E3EFD"/>
    <w:rsid w:val="00211617"/>
    <w:rsid w:val="00235956"/>
    <w:rsid w:val="00255012"/>
    <w:rsid w:val="002B1F41"/>
    <w:rsid w:val="002E1A1C"/>
    <w:rsid w:val="002E43E1"/>
    <w:rsid w:val="0031078E"/>
    <w:rsid w:val="00366F95"/>
    <w:rsid w:val="003D3F73"/>
    <w:rsid w:val="004060EE"/>
    <w:rsid w:val="00426B53"/>
    <w:rsid w:val="00426EB4"/>
    <w:rsid w:val="00434D31"/>
    <w:rsid w:val="0044009D"/>
    <w:rsid w:val="00441690"/>
    <w:rsid w:val="00462DBC"/>
    <w:rsid w:val="004B5FB1"/>
    <w:rsid w:val="004C21BF"/>
    <w:rsid w:val="004F34E4"/>
    <w:rsid w:val="00535E5B"/>
    <w:rsid w:val="00543168"/>
    <w:rsid w:val="005A0769"/>
    <w:rsid w:val="005A5D7A"/>
    <w:rsid w:val="005C3CB8"/>
    <w:rsid w:val="005C4858"/>
    <w:rsid w:val="005E5E0B"/>
    <w:rsid w:val="00647C96"/>
    <w:rsid w:val="006C22D0"/>
    <w:rsid w:val="006F63DD"/>
    <w:rsid w:val="0076076B"/>
    <w:rsid w:val="007D5D3D"/>
    <w:rsid w:val="00826396"/>
    <w:rsid w:val="00843B83"/>
    <w:rsid w:val="00847333"/>
    <w:rsid w:val="00874F18"/>
    <w:rsid w:val="008754F2"/>
    <w:rsid w:val="008B4AC6"/>
    <w:rsid w:val="008E5949"/>
    <w:rsid w:val="0092741A"/>
    <w:rsid w:val="00966C48"/>
    <w:rsid w:val="00974365"/>
    <w:rsid w:val="00980F44"/>
    <w:rsid w:val="009833D0"/>
    <w:rsid w:val="009A56CB"/>
    <w:rsid w:val="009D0862"/>
    <w:rsid w:val="00A45E1C"/>
    <w:rsid w:val="00A755EA"/>
    <w:rsid w:val="00A83A8E"/>
    <w:rsid w:val="00A87DF3"/>
    <w:rsid w:val="00AB1E8D"/>
    <w:rsid w:val="00AB2DD9"/>
    <w:rsid w:val="00AE0FA8"/>
    <w:rsid w:val="00B02935"/>
    <w:rsid w:val="00B63DC9"/>
    <w:rsid w:val="00BB52EF"/>
    <w:rsid w:val="00BC65FD"/>
    <w:rsid w:val="00BE32F1"/>
    <w:rsid w:val="00BE3CC3"/>
    <w:rsid w:val="00C6432F"/>
    <w:rsid w:val="00C72F8C"/>
    <w:rsid w:val="00C7597C"/>
    <w:rsid w:val="00C927B5"/>
    <w:rsid w:val="00C976DE"/>
    <w:rsid w:val="00C97E01"/>
    <w:rsid w:val="00CC21EC"/>
    <w:rsid w:val="00CD5825"/>
    <w:rsid w:val="00D02486"/>
    <w:rsid w:val="00D81583"/>
    <w:rsid w:val="00DB57A7"/>
    <w:rsid w:val="00DE43F7"/>
    <w:rsid w:val="00DF73B9"/>
    <w:rsid w:val="00E32650"/>
    <w:rsid w:val="00E65629"/>
    <w:rsid w:val="00ED0624"/>
    <w:rsid w:val="00ED5F4C"/>
    <w:rsid w:val="00F35E3D"/>
    <w:rsid w:val="00FC04A3"/>
    <w:rsid w:val="00FC5E87"/>
    <w:rsid w:val="00FC6341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1D44BB3D-949E-4B80-A2EF-C01795C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3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B83"/>
  </w:style>
  <w:style w:type="paragraph" w:styleId="Zpat">
    <w:name w:val="footer"/>
    <w:basedOn w:val="Normln"/>
    <w:link w:val="ZpatChar"/>
    <w:uiPriority w:val="99"/>
    <w:unhideWhenUsed/>
    <w:rsid w:val="00843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B83"/>
  </w:style>
  <w:style w:type="paragraph" w:styleId="Textbubliny">
    <w:name w:val="Balloon Text"/>
    <w:basedOn w:val="Normln"/>
    <w:link w:val="TextbublinyChar"/>
    <w:uiPriority w:val="99"/>
    <w:semiHidden/>
    <w:unhideWhenUsed/>
    <w:rsid w:val="008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B83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Normln"/>
    <w:uiPriority w:val="99"/>
    <w:rsid w:val="007607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DB5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7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7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004E994F204B8A1F5F844D48BE32" ma:contentTypeVersion="0" ma:contentTypeDescription="Create a new document." ma:contentTypeScope="" ma:versionID="82d8350837e9ce14ca4f6d56f92d85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2C2F-F4DF-4DE1-A6E3-9B96D510F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65AD2-0EDD-44C5-BC81-95A422E04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A0585-CF0C-46C3-9872-216FD580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2BDF01-FD76-4FE5-B081-314668DF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Alba, Sanchez (TER)</dc:creator>
  <cp:lastModifiedBy>Josef Vašek</cp:lastModifiedBy>
  <cp:revision>7</cp:revision>
  <cp:lastPrinted>2014-04-11T12:56:00Z</cp:lastPrinted>
  <dcterms:created xsi:type="dcterms:W3CDTF">2015-09-18T15:00:00Z</dcterms:created>
  <dcterms:modified xsi:type="dcterms:W3CDTF">2015-10-16T08:31:00Z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0x0101007141004E994F204B8A1F5F844D48BE32</vt:lpwstr>
  </property>
</Properties>
</file>